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627"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38"/>
        <w:gridCol w:w="6473"/>
      </w:tblGrid>
      <w:tr w:rsidR="0020473C" w:rsidRPr="00C527F6" w:rsidTr="00FF285F">
        <w:trPr>
          <w:tblCellSpacing w:w="0" w:type="dxa"/>
        </w:trPr>
        <w:tc>
          <w:tcPr>
            <w:tcW w:w="3438" w:type="dxa"/>
            <w:vAlign w:val="center"/>
          </w:tcPr>
          <w:p w:rsidR="0020473C" w:rsidRPr="00C527F6" w:rsidRDefault="0020473C" w:rsidP="00FF285F">
            <w:pPr>
              <w:jc w:val="both"/>
              <w:textAlignment w:val="baseline"/>
              <w:rPr>
                <w:rFonts w:cs="Times New Roman"/>
                <w:lang w:eastAsia="vi-VN"/>
              </w:rPr>
            </w:pPr>
            <w:bookmarkStart w:id="0" w:name="_GoBack"/>
            <w:bookmarkEnd w:id="0"/>
            <w:r w:rsidRPr="00C527F6">
              <w:rPr>
                <w:rFonts w:cs="Times New Roman"/>
                <w:lang w:eastAsia="vi-VN"/>
              </w:rPr>
              <w:t>- Trình tự thực hiện:</w:t>
            </w:r>
          </w:p>
        </w:tc>
        <w:tc>
          <w:tcPr>
            <w:tcW w:w="6473" w:type="dxa"/>
            <w:vAlign w:val="center"/>
          </w:tcPr>
          <w:p w:rsidR="00DF16F8" w:rsidRPr="00DF16F8" w:rsidRDefault="00DF16F8" w:rsidP="00DF16F8">
            <w:pPr>
              <w:jc w:val="both"/>
              <w:textAlignment w:val="baseline"/>
              <w:rPr>
                <w:rFonts w:cs="Times New Roman"/>
              </w:rPr>
            </w:pPr>
            <w:r w:rsidRPr="00DF16F8">
              <w:rPr>
                <w:rFonts w:cs="Times New Roman"/>
              </w:rPr>
              <w:t>- Bước 1: Trước khi giảng đạo ngoài địa bàn phụ trách, cơ sở tôn giáo, địa điểm hợp pháp đã đăng ký có quy mô tổ chức ở nhiều huyện thuộc một tỉnh hoặc ở nhiều tỉnh, chức sắc, chức việc, nhà tu hành gửi hồ sơ đề nghị đến Sở Nội vụ.</w:t>
            </w:r>
          </w:p>
          <w:p w:rsidR="00DF16F8" w:rsidRPr="00DF16F8" w:rsidRDefault="00DF16F8" w:rsidP="00DF16F8">
            <w:pPr>
              <w:jc w:val="both"/>
              <w:textAlignment w:val="baseline"/>
              <w:rPr>
                <w:rFonts w:cs="Times New Roman"/>
              </w:rPr>
            </w:pPr>
            <w:r w:rsidRPr="00DF16F8">
              <w:rPr>
                <w:rFonts w:cs="Times New Roman"/>
              </w:rPr>
              <w:t>- Bước 2: Sở Nội vụ xem xét hồ sơ, trường hợp hồ sơ chưa đầy đủ, hợp lệ, Sở Nội vụ thông báo qua mạng Internet hoặc văn bản cho chức sắc, chức việc, nhà tu hành để hoàn chỉnh hồ sơ.</w:t>
            </w:r>
          </w:p>
          <w:p w:rsidR="0020473C" w:rsidRPr="00DF16F8" w:rsidRDefault="00DF16F8" w:rsidP="00DF16F8">
            <w:pPr>
              <w:jc w:val="both"/>
              <w:textAlignment w:val="baseline"/>
              <w:rPr>
                <w:rFonts w:cs="Times New Roman"/>
              </w:rPr>
            </w:pPr>
            <w:r w:rsidRPr="00DF16F8">
              <w:rPr>
                <w:rFonts w:cs="Times New Roman"/>
              </w:rPr>
              <w:t>- Bước 3: Sở Nội vụ phối hợp với các cơ quan liên quan (nếu cần) thẩm định hồ sơ,chấp thuận hoặc không chấp thuận về việc giảng đạo ngoài địa bàn phụ trách,cơ sở tôn giáo, địa điểm hợp pháp đã đăng ký. Trường hợp từ chối đề nghị phải trả lời bằng văn bản và nêu rõ lý do.</w:t>
            </w:r>
          </w:p>
        </w:tc>
      </w:tr>
      <w:tr w:rsidR="0020473C" w:rsidRPr="00C527F6" w:rsidTr="00FF285F">
        <w:trPr>
          <w:tblCellSpacing w:w="0" w:type="dxa"/>
        </w:trPr>
        <w:tc>
          <w:tcPr>
            <w:tcW w:w="3438" w:type="dxa"/>
            <w:vAlign w:val="center"/>
          </w:tcPr>
          <w:p w:rsidR="0020473C" w:rsidRPr="00C527F6" w:rsidRDefault="0020473C" w:rsidP="00FF285F">
            <w:pPr>
              <w:jc w:val="both"/>
              <w:textAlignment w:val="baseline"/>
              <w:rPr>
                <w:rFonts w:cs="Times New Roman"/>
                <w:lang w:eastAsia="vi-VN"/>
              </w:rPr>
            </w:pPr>
            <w:r w:rsidRPr="00C527F6">
              <w:rPr>
                <w:rFonts w:cs="Times New Roman"/>
                <w:lang w:eastAsia="vi-VN"/>
              </w:rPr>
              <w:t>- Cách thức thực hiện; </w:t>
            </w:r>
          </w:p>
        </w:tc>
        <w:tc>
          <w:tcPr>
            <w:tcW w:w="6473" w:type="dxa"/>
            <w:vAlign w:val="center"/>
          </w:tcPr>
          <w:p w:rsidR="00DF16F8" w:rsidRPr="00DF16F8" w:rsidRDefault="00DF16F8" w:rsidP="00DF16F8">
            <w:pPr>
              <w:jc w:val="both"/>
              <w:textAlignment w:val="baseline"/>
              <w:rPr>
                <w:rFonts w:cs="Times New Roman"/>
              </w:rPr>
            </w:pPr>
            <w:r w:rsidRPr="00DF16F8">
              <w:rPr>
                <w:rFonts w:cs="Times New Roman"/>
              </w:rPr>
              <w:t xml:space="preserve">Nộp hồ sơ trực tiếp tại Sở Nội vụ; qua đường bưu chính hoặc thông qua dịch vụ công trực tuyến. </w:t>
            </w:r>
          </w:p>
          <w:p w:rsidR="0020473C" w:rsidRPr="00DF16F8" w:rsidRDefault="00DF16F8" w:rsidP="00DF16F8">
            <w:pPr>
              <w:jc w:val="both"/>
              <w:textAlignment w:val="baseline"/>
              <w:rPr>
                <w:rFonts w:cs="Times New Roman"/>
              </w:rPr>
            </w:pPr>
            <w:r w:rsidRPr="00DF16F8">
              <w:rPr>
                <w:rFonts w:cs="Times New Roman"/>
              </w:rPr>
              <w:t>Sở Nội vụ tiếp nhận hồ sơ và có giấy hẹn trả kết quả. Nếu gửi qua đường bưu chính, ngày tiếp nhận hồ sơ được tính theo ngày ghi trên dấu công văn đến.</w:t>
            </w:r>
          </w:p>
        </w:tc>
      </w:tr>
      <w:tr w:rsidR="0020473C" w:rsidRPr="0086740A" w:rsidTr="00FF285F">
        <w:trPr>
          <w:tblCellSpacing w:w="0" w:type="dxa"/>
        </w:trPr>
        <w:tc>
          <w:tcPr>
            <w:tcW w:w="3438" w:type="dxa"/>
            <w:vAlign w:val="center"/>
          </w:tcPr>
          <w:p w:rsidR="0020473C" w:rsidRPr="00C527F6" w:rsidRDefault="0020473C" w:rsidP="00FF285F">
            <w:pPr>
              <w:jc w:val="both"/>
              <w:textAlignment w:val="baseline"/>
              <w:rPr>
                <w:rFonts w:cs="Times New Roman"/>
                <w:lang w:eastAsia="vi-VN"/>
              </w:rPr>
            </w:pPr>
            <w:r w:rsidRPr="00C527F6">
              <w:rPr>
                <w:rFonts w:cs="Times New Roman"/>
                <w:lang w:eastAsia="vi-VN"/>
              </w:rPr>
              <w:t>- Thành phần, số lượng hồ sơ:</w:t>
            </w:r>
          </w:p>
        </w:tc>
        <w:tc>
          <w:tcPr>
            <w:tcW w:w="6473" w:type="dxa"/>
            <w:vAlign w:val="center"/>
          </w:tcPr>
          <w:p w:rsidR="00DF16F8" w:rsidRPr="00DF16F8" w:rsidRDefault="00DF16F8" w:rsidP="00DF16F8">
            <w:pPr>
              <w:jc w:val="both"/>
              <w:textAlignment w:val="baseline"/>
              <w:rPr>
                <w:rFonts w:cs="Times New Roman"/>
              </w:rPr>
            </w:pPr>
            <w:r w:rsidRPr="00DF16F8">
              <w:rPr>
                <w:rFonts w:cs="Times New Roman"/>
              </w:rPr>
              <w:t>- Thành phần hồ sơ: Văn bản đề nghị (theo mẫu).</w:t>
            </w:r>
          </w:p>
          <w:p w:rsidR="0020473C" w:rsidRPr="00DF16F8" w:rsidRDefault="00DF16F8" w:rsidP="00DF16F8">
            <w:pPr>
              <w:jc w:val="both"/>
              <w:textAlignment w:val="baseline"/>
              <w:rPr>
                <w:rFonts w:cs="Times New Roman"/>
              </w:rPr>
            </w:pPr>
            <w:r w:rsidRPr="00DF16F8">
              <w:rPr>
                <w:rFonts w:cs="Times New Roman"/>
              </w:rPr>
              <w:t>- Số lượng hồ sơ: 01 (bộ).</w:t>
            </w:r>
          </w:p>
        </w:tc>
      </w:tr>
      <w:tr w:rsidR="0020473C" w:rsidRPr="00C527F6" w:rsidTr="00FF285F">
        <w:trPr>
          <w:tblCellSpacing w:w="0" w:type="dxa"/>
        </w:trPr>
        <w:tc>
          <w:tcPr>
            <w:tcW w:w="3438" w:type="dxa"/>
            <w:vAlign w:val="center"/>
          </w:tcPr>
          <w:p w:rsidR="0020473C" w:rsidRPr="00C527F6" w:rsidRDefault="0020473C" w:rsidP="00FF285F">
            <w:pPr>
              <w:jc w:val="both"/>
              <w:textAlignment w:val="baseline"/>
              <w:rPr>
                <w:rFonts w:cs="Times New Roman"/>
                <w:lang w:eastAsia="vi-VN"/>
              </w:rPr>
            </w:pPr>
            <w:r w:rsidRPr="00C527F6">
              <w:rPr>
                <w:rFonts w:cs="Times New Roman"/>
                <w:lang w:eastAsia="vi-VN"/>
              </w:rPr>
              <w:t>- Thời hạn giải quyết:</w:t>
            </w:r>
          </w:p>
        </w:tc>
        <w:tc>
          <w:tcPr>
            <w:tcW w:w="6473" w:type="dxa"/>
            <w:vAlign w:val="center"/>
          </w:tcPr>
          <w:p w:rsidR="0020473C" w:rsidRPr="00DF16F8" w:rsidRDefault="00DF16F8" w:rsidP="00DF16F8">
            <w:pPr>
              <w:jc w:val="both"/>
              <w:textAlignment w:val="baseline"/>
              <w:rPr>
                <w:rFonts w:cs="Times New Roman"/>
              </w:rPr>
            </w:pPr>
            <w:r w:rsidRPr="00DF16F8">
              <w:rPr>
                <w:rFonts w:cs="Times New Roman"/>
              </w:rPr>
              <w:t>30 ngày kể từ ngày Sở Nội vụ nhận đủ hồ sơ đề nghị hợp lệ.</w:t>
            </w:r>
          </w:p>
        </w:tc>
      </w:tr>
      <w:tr w:rsidR="0020473C" w:rsidRPr="0086740A" w:rsidTr="00FF285F">
        <w:trPr>
          <w:tblCellSpacing w:w="0" w:type="dxa"/>
        </w:trPr>
        <w:tc>
          <w:tcPr>
            <w:tcW w:w="3438" w:type="dxa"/>
            <w:vAlign w:val="center"/>
          </w:tcPr>
          <w:p w:rsidR="0020473C" w:rsidRPr="00C527F6" w:rsidRDefault="0020473C" w:rsidP="00FF285F">
            <w:pPr>
              <w:jc w:val="both"/>
              <w:textAlignment w:val="baseline"/>
              <w:rPr>
                <w:rFonts w:cs="Times New Roman"/>
                <w:lang w:val="pt-BR" w:eastAsia="vi-VN"/>
              </w:rPr>
            </w:pPr>
            <w:r w:rsidRPr="00C527F6">
              <w:rPr>
                <w:rFonts w:cs="Times New Roman"/>
                <w:lang w:val="pt-BR" w:eastAsia="vi-VN"/>
              </w:rPr>
              <w:t>- Đối tượng thực hiện thủ tục hành chính:</w:t>
            </w:r>
          </w:p>
        </w:tc>
        <w:tc>
          <w:tcPr>
            <w:tcW w:w="6473" w:type="dxa"/>
            <w:vAlign w:val="center"/>
          </w:tcPr>
          <w:p w:rsidR="0020473C" w:rsidRPr="00DF16F8" w:rsidRDefault="00DF16F8" w:rsidP="00DF16F8">
            <w:pPr>
              <w:jc w:val="both"/>
              <w:textAlignment w:val="baseline"/>
              <w:rPr>
                <w:rFonts w:cs="Times New Roman"/>
              </w:rPr>
            </w:pPr>
            <w:r w:rsidRPr="00DF16F8">
              <w:rPr>
                <w:rFonts w:cs="Times New Roman"/>
              </w:rPr>
              <w:t>Chức sắc, chức việc, nhà tu hànhgiảng đạo ngoài địa bàn phụ trách, cơ sở tôn giáo, địa điểm hợp pháp đã đăng ký.</w:t>
            </w:r>
          </w:p>
        </w:tc>
      </w:tr>
      <w:tr w:rsidR="0020473C" w:rsidRPr="0086740A" w:rsidTr="00FF285F">
        <w:trPr>
          <w:tblCellSpacing w:w="0" w:type="dxa"/>
        </w:trPr>
        <w:tc>
          <w:tcPr>
            <w:tcW w:w="3438" w:type="dxa"/>
            <w:vAlign w:val="center"/>
          </w:tcPr>
          <w:p w:rsidR="0020473C" w:rsidRPr="00C527F6" w:rsidRDefault="0020473C" w:rsidP="00FF285F">
            <w:pPr>
              <w:jc w:val="both"/>
              <w:textAlignment w:val="baseline"/>
              <w:rPr>
                <w:rFonts w:cs="Times New Roman"/>
                <w:lang w:val="pt-BR" w:eastAsia="vi-VN"/>
              </w:rPr>
            </w:pPr>
            <w:r w:rsidRPr="00C527F6">
              <w:rPr>
                <w:rFonts w:cs="Times New Roman"/>
                <w:lang w:val="pt-BR" w:eastAsia="vi-VN"/>
              </w:rPr>
              <w:t>- Cơ quan thực hiện thủ tục hành chính:</w:t>
            </w:r>
          </w:p>
        </w:tc>
        <w:tc>
          <w:tcPr>
            <w:tcW w:w="6473" w:type="dxa"/>
            <w:vAlign w:val="center"/>
          </w:tcPr>
          <w:p w:rsidR="00DF16F8" w:rsidRPr="00DF16F8" w:rsidRDefault="00DF16F8" w:rsidP="00DF16F8">
            <w:pPr>
              <w:jc w:val="both"/>
              <w:textAlignment w:val="baseline"/>
              <w:rPr>
                <w:rFonts w:cs="Times New Roman"/>
              </w:rPr>
            </w:pPr>
            <w:r w:rsidRPr="00DF16F8">
              <w:rPr>
                <w:rFonts w:cs="Times New Roman"/>
              </w:rPr>
              <w:t>- Cơ quan có thẩm quyền quyết định: Sở Nội vụ.</w:t>
            </w:r>
          </w:p>
          <w:p w:rsidR="0020473C" w:rsidRPr="00DF16F8" w:rsidRDefault="00DF16F8" w:rsidP="00DF16F8">
            <w:pPr>
              <w:jc w:val="both"/>
              <w:textAlignment w:val="baseline"/>
              <w:rPr>
                <w:rFonts w:cs="Times New Roman"/>
              </w:rPr>
            </w:pPr>
            <w:r w:rsidRPr="00DF16F8">
              <w:rPr>
                <w:rFonts w:cs="Times New Roman"/>
              </w:rPr>
              <w:softHyphen/>
              <w:t>- Cơ quan trực tiếp thực hiện thủ tục hành chính: Sở Nội vụ.</w:t>
            </w:r>
          </w:p>
        </w:tc>
      </w:tr>
      <w:tr w:rsidR="0020473C" w:rsidRPr="006C3271" w:rsidTr="00FF285F">
        <w:trPr>
          <w:tblCellSpacing w:w="0" w:type="dxa"/>
        </w:trPr>
        <w:tc>
          <w:tcPr>
            <w:tcW w:w="3438" w:type="dxa"/>
            <w:vAlign w:val="center"/>
          </w:tcPr>
          <w:p w:rsidR="0020473C" w:rsidRPr="00C527F6" w:rsidRDefault="0020473C" w:rsidP="00FF285F">
            <w:pPr>
              <w:jc w:val="both"/>
              <w:textAlignment w:val="baseline"/>
              <w:rPr>
                <w:rFonts w:cs="Times New Roman"/>
                <w:lang w:val="pt-BR" w:eastAsia="vi-VN"/>
              </w:rPr>
            </w:pPr>
            <w:r w:rsidRPr="00C527F6">
              <w:rPr>
                <w:rFonts w:cs="Times New Roman"/>
                <w:lang w:val="pt-BR" w:eastAsia="vi-VN"/>
              </w:rPr>
              <w:t>- Kết quả thực hiện thủ tục hành chính:</w:t>
            </w:r>
          </w:p>
        </w:tc>
        <w:tc>
          <w:tcPr>
            <w:tcW w:w="6473" w:type="dxa"/>
            <w:vAlign w:val="center"/>
          </w:tcPr>
          <w:p w:rsidR="0020473C" w:rsidRPr="00DF16F8" w:rsidRDefault="00DF16F8" w:rsidP="00DF16F8">
            <w:pPr>
              <w:jc w:val="both"/>
              <w:textAlignment w:val="baseline"/>
              <w:rPr>
                <w:rFonts w:cs="Times New Roman"/>
              </w:rPr>
            </w:pPr>
            <w:r w:rsidRPr="00DF16F8">
              <w:rPr>
                <w:rFonts w:cs="Times New Roman"/>
              </w:rPr>
              <w:t>Văn bản trả lời chấp thuận hoặc không chấp thuận về việc giảng đạo ngoài địa bàn phụ trách, cơ sở tôn giáo, địa điểm hợp pháp đã đăng ký.</w:t>
            </w:r>
          </w:p>
        </w:tc>
      </w:tr>
      <w:tr w:rsidR="0020473C" w:rsidRPr="00C527F6" w:rsidTr="00FF285F">
        <w:trPr>
          <w:tblCellSpacing w:w="0" w:type="dxa"/>
        </w:trPr>
        <w:tc>
          <w:tcPr>
            <w:tcW w:w="3438" w:type="dxa"/>
            <w:vAlign w:val="center"/>
          </w:tcPr>
          <w:p w:rsidR="0020473C" w:rsidRPr="00C527F6" w:rsidRDefault="0020473C" w:rsidP="00FF285F">
            <w:pPr>
              <w:jc w:val="both"/>
              <w:textAlignment w:val="baseline"/>
              <w:rPr>
                <w:rFonts w:cs="Times New Roman"/>
                <w:lang w:eastAsia="vi-VN"/>
              </w:rPr>
            </w:pPr>
            <w:r w:rsidRPr="00C527F6">
              <w:rPr>
                <w:rFonts w:cs="Times New Roman"/>
                <w:lang w:eastAsia="vi-VN"/>
              </w:rPr>
              <w:t>- Lệ phí (nếu có):</w:t>
            </w:r>
          </w:p>
        </w:tc>
        <w:tc>
          <w:tcPr>
            <w:tcW w:w="6473" w:type="dxa"/>
            <w:vAlign w:val="center"/>
          </w:tcPr>
          <w:p w:rsidR="0020473C" w:rsidRPr="00DF16F8" w:rsidRDefault="00DF16F8" w:rsidP="00DF16F8">
            <w:pPr>
              <w:jc w:val="both"/>
              <w:textAlignment w:val="baseline"/>
              <w:rPr>
                <w:rFonts w:cs="Times New Roman"/>
              </w:rPr>
            </w:pPr>
            <w:r w:rsidRPr="00DF16F8">
              <w:rPr>
                <w:rFonts w:cs="Times New Roman"/>
              </w:rPr>
              <w:t>Không có.</w:t>
            </w:r>
          </w:p>
        </w:tc>
      </w:tr>
      <w:tr w:rsidR="0020473C" w:rsidRPr="00C527F6" w:rsidTr="00FF285F">
        <w:trPr>
          <w:tblCellSpacing w:w="0" w:type="dxa"/>
        </w:trPr>
        <w:tc>
          <w:tcPr>
            <w:tcW w:w="3438" w:type="dxa"/>
            <w:vAlign w:val="center"/>
          </w:tcPr>
          <w:p w:rsidR="0020473C" w:rsidRPr="00C527F6" w:rsidRDefault="0020473C" w:rsidP="00FF285F">
            <w:pPr>
              <w:jc w:val="both"/>
              <w:textAlignment w:val="baseline"/>
              <w:rPr>
                <w:rFonts w:cs="Times New Roman"/>
                <w:lang w:eastAsia="vi-VN"/>
              </w:rPr>
            </w:pPr>
            <w:r>
              <w:rPr>
                <w:rFonts w:cs="Times New Roman"/>
                <w:lang w:eastAsia="vi-VN"/>
              </w:rPr>
              <w:t xml:space="preserve">- </w:t>
            </w:r>
            <w:r w:rsidRPr="005A7204">
              <w:rPr>
                <w:rFonts w:cs="Times New Roman"/>
              </w:rPr>
              <w:t>Tên mẫu đơn, mẫu tờ khai (nếu có và đề nghị đính kèm):</w:t>
            </w:r>
          </w:p>
        </w:tc>
        <w:tc>
          <w:tcPr>
            <w:tcW w:w="6473" w:type="dxa"/>
            <w:vAlign w:val="center"/>
          </w:tcPr>
          <w:p w:rsidR="0020473C" w:rsidRPr="00DF16F8" w:rsidRDefault="00DF16F8" w:rsidP="00DF16F8">
            <w:pPr>
              <w:jc w:val="both"/>
              <w:textAlignment w:val="baseline"/>
              <w:rPr>
                <w:rFonts w:cs="Times New Roman"/>
              </w:rPr>
            </w:pPr>
            <w:r w:rsidRPr="00DF16F8">
              <w:rPr>
                <w:rFonts w:cs="Times New Roman"/>
              </w:rPr>
              <w:t>Đề nghị giảng đạo ngoài địa bàn phụ trách, cơ sở tôn giáo hoặc địa điểm hợp pháp đã đăng ký (Mẫu B35, Phụ lục Nghị định số 162/2017/NĐ-CP ngày 30/12/2017).</w:t>
            </w:r>
          </w:p>
        </w:tc>
      </w:tr>
      <w:tr w:rsidR="0020473C" w:rsidRPr="00C527F6" w:rsidTr="00FF285F">
        <w:trPr>
          <w:tblCellSpacing w:w="0" w:type="dxa"/>
        </w:trPr>
        <w:tc>
          <w:tcPr>
            <w:tcW w:w="3438" w:type="dxa"/>
            <w:vAlign w:val="center"/>
          </w:tcPr>
          <w:p w:rsidR="0020473C" w:rsidRPr="004105F6" w:rsidRDefault="0020473C" w:rsidP="00FF285F">
            <w:pPr>
              <w:jc w:val="both"/>
              <w:textAlignment w:val="baseline"/>
              <w:rPr>
                <w:rFonts w:cs="Times New Roman"/>
                <w:lang w:eastAsia="vi-VN"/>
              </w:rPr>
            </w:pPr>
            <w:r w:rsidRPr="004105F6">
              <w:rPr>
                <w:rFonts w:cs="Times New Roman"/>
              </w:rPr>
              <w:t>- Yêu cầu, điều kiện thực hiện thủ tục hành chính (nếu có):</w:t>
            </w:r>
          </w:p>
        </w:tc>
        <w:tc>
          <w:tcPr>
            <w:tcW w:w="6473" w:type="dxa"/>
            <w:vAlign w:val="center"/>
          </w:tcPr>
          <w:p w:rsidR="0020473C" w:rsidRPr="00DF16F8" w:rsidRDefault="00DF16F8" w:rsidP="00DF16F8">
            <w:pPr>
              <w:jc w:val="both"/>
              <w:textAlignment w:val="baseline"/>
              <w:rPr>
                <w:rFonts w:cs="Times New Roman"/>
              </w:rPr>
            </w:pPr>
            <w:r w:rsidRPr="00DF16F8">
              <w:rPr>
                <w:rFonts w:cs="Times New Roman"/>
              </w:rPr>
              <w:t>Không có.</w:t>
            </w:r>
          </w:p>
        </w:tc>
      </w:tr>
      <w:tr w:rsidR="0020473C" w:rsidRPr="0086740A" w:rsidTr="00DF16F8">
        <w:trPr>
          <w:trHeight w:val="2591"/>
          <w:tblCellSpacing w:w="0" w:type="dxa"/>
        </w:trPr>
        <w:tc>
          <w:tcPr>
            <w:tcW w:w="3438" w:type="dxa"/>
            <w:vAlign w:val="center"/>
          </w:tcPr>
          <w:p w:rsidR="0020473C" w:rsidRPr="00C527F6" w:rsidRDefault="0020473C" w:rsidP="00FF285F">
            <w:pPr>
              <w:jc w:val="both"/>
              <w:textAlignment w:val="baseline"/>
              <w:rPr>
                <w:rFonts w:cs="Times New Roman"/>
                <w:lang w:val="pt-BR" w:eastAsia="vi-VN"/>
              </w:rPr>
            </w:pPr>
            <w:r w:rsidRPr="00C527F6">
              <w:rPr>
                <w:rFonts w:cs="Times New Roman"/>
                <w:lang w:val="pt-BR" w:eastAsia="vi-VN"/>
              </w:rPr>
              <w:t>- Căn cứ pháp lý của thủ tục hành chính:</w:t>
            </w:r>
          </w:p>
        </w:tc>
        <w:tc>
          <w:tcPr>
            <w:tcW w:w="6473" w:type="dxa"/>
            <w:vAlign w:val="center"/>
          </w:tcPr>
          <w:p w:rsidR="00DF16F8" w:rsidRPr="00DF16F8" w:rsidRDefault="00DF16F8" w:rsidP="00DF16F8">
            <w:pPr>
              <w:jc w:val="both"/>
              <w:textAlignment w:val="baseline"/>
              <w:rPr>
                <w:rFonts w:cs="Times New Roman"/>
              </w:rPr>
            </w:pPr>
            <w:r w:rsidRPr="00DF16F8">
              <w:rPr>
                <w:rFonts w:cs="Times New Roman"/>
              </w:rPr>
              <w:t>- Luật tín ngưỡng, tôn giáo (Luật số 02/2016/QH14 ngày 18/11/2016).</w:t>
            </w:r>
          </w:p>
          <w:p w:rsidR="00DF16F8" w:rsidRPr="00DF16F8" w:rsidRDefault="00DF16F8" w:rsidP="00DF16F8">
            <w:pPr>
              <w:jc w:val="both"/>
              <w:textAlignment w:val="baseline"/>
              <w:rPr>
                <w:rFonts w:cs="Times New Roman"/>
              </w:rPr>
            </w:pPr>
            <w:r w:rsidRPr="00DF16F8">
              <w:rPr>
                <w:rFonts w:cs="Times New Roman"/>
              </w:rPr>
              <w:t>- Nghị định số 162/2017/NĐ-CP ngày 30/12/2017 của Chính phủ quy định chi tiết một số điều và biện pháp thi hành Luật tín ngưỡng, tôn giáo.</w:t>
            </w:r>
          </w:p>
          <w:p w:rsidR="0020473C" w:rsidRPr="00DF16F8" w:rsidRDefault="00DF16F8" w:rsidP="00DF16F8">
            <w:pPr>
              <w:jc w:val="both"/>
              <w:textAlignment w:val="baseline"/>
              <w:rPr>
                <w:rFonts w:cs="Times New Roman"/>
              </w:rPr>
            </w:pPr>
            <w:r w:rsidRPr="00DF16F8">
              <w:rPr>
                <w:rFonts w:cs="Times New Roman"/>
              </w:rPr>
              <w:t>- Thông tư số 02/2017/TT-VPCP ngày 31/10/2017 của Văn phòng Chính phủ hướng dẫn về nghiệp vụ kiểm soát thủ tục hành chính.</w:t>
            </w:r>
          </w:p>
        </w:tc>
      </w:tr>
    </w:tbl>
    <w:p w:rsidR="0020473C" w:rsidRPr="00C527F6" w:rsidRDefault="0020473C" w:rsidP="0020473C">
      <w:pPr>
        <w:rPr>
          <w:lang w:val="pt-BR"/>
        </w:rPr>
      </w:pPr>
    </w:p>
    <w:p w:rsidR="0020473C" w:rsidRDefault="0020473C" w:rsidP="0020473C"/>
    <w:p w:rsidR="0020473C" w:rsidRDefault="0020473C" w:rsidP="0020473C"/>
    <w:p w:rsidR="00D41331" w:rsidRDefault="0020473C">
      <w:r>
        <w:t>Cấp tỉnh</w:t>
      </w:r>
    </w:p>
    <w:p w:rsidR="0020473C" w:rsidRDefault="0020473C"/>
    <w:p w:rsidR="0020473C" w:rsidRDefault="0020473C"/>
    <w:p w:rsidR="0020473C" w:rsidRDefault="0020473C">
      <w:r>
        <w:t xml:space="preserve">35. </w:t>
      </w:r>
      <w:r w:rsidRPr="00A95F0E">
        <w:rPr>
          <w:color w:val="000000" w:themeColor="text1"/>
          <w:sz w:val="27"/>
          <w:szCs w:val="27"/>
        </w:rPr>
        <w:t>Thủ tục đề nghị giảng đạo ngoài địa bàn phụ trách, cơ sở tôn giáo, địa điểm hợp pháp đã đăng ký có quy mô tổ chức ở nhiều huyện thuộc một tỉnh hoặc ở nhiều tỉnh</w:t>
      </w:r>
    </w:p>
    <w:sectPr w:rsidR="0020473C" w:rsidSect="00E447CB">
      <w:pgSz w:w="11906" w:h="16838" w:code="9"/>
      <w:pgMar w:top="1134" w:right="1418"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73C"/>
    <w:rsid w:val="0020473C"/>
    <w:rsid w:val="00AF725E"/>
    <w:rsid w:val="00D41331"/>
    <w:rsid w:val="00DF16F8"/>
    <w:rsid w:val="00FB3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73C"/>
    <w:pPr>
      <w:spacing w:after="0" w:line="240" w:lineRule="auto"/>
    </w:pPr>
    <w:rPr>
      <w:rFonts w:ascii="Times New Roman" w:eastAsia="Times New Roman" w:hAnsi="Times New Roman" w:cs="Angsana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73C"/>
    <w:pPr>
      <w:spacing w:after="0" w:line="240" w:lineRule="auto"/>
    </w:pPr>
    <w:rPr>
      <w:rFonts w:ascii="Times New Roman" w:eastAsia="Times New Roman" w:hAnsi="Times New Roman" w:cs="Angsana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6CDDCD-5B24-42A8-B56B-1A1D04A43268}"/>
</file>

<file path=customXml/itemProps2.xml><?xml version="1.0" encoding="utf-8"?>
<ds:datastoreItem xmlns:ds="http://schemas.openxmlformats.org/officeDocument/2006/customXml" ds:itemID="{970B43DD-A8A3-4389-9E01-71E6074B3E07}"/>
</file>

<file path=customXml/itemProps3.xml><?xml version="1.0" encoding="utf-8"?>
<ds:datastoreItem xmlns:ds="http://schemas.openxmlformats.org/officeDocument/2006/customXml" ds:itemID="{38232FDD-FC90-4805-A805-D532E8AC3D40}"/>
</file>

<file path=docProps/app.xml><?xml version="1.0" encoding="utf-8"?>
<Properties xmlns="http://schemas.openxmlformats.org/officeDocument/2006/extended-properties" xmlns:vt="http://schemas.openxmlformats.org/officeDocument/2006/docPropsVTypes">
  <Template>Normal</Template>
  <TotalTime>0</TotalTime>
  <Pages>1</Pages>
  <Words>377</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Thi Phuong Hang</dc:creator>
  <cp:lastModifiedBy>BNV</cp:lastModifiedBy>
  <cp:revision>2</cp:revision>
  <dcterms:created xsi:type="dcterms:W3CDTF">2018-09-20T09:14:00Z</dcterms:created>
  <dcterms:modified xsi:type="dcterms:W3CDTF">2018-09-20T09:14:00Z</dcterms:modified>
</cp:coreProperties>
</file>